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B6724D" w:rsidRDefault="00B6724D" w:rsidP="00203AF8">
      <w:pPr>
        <w:pStyle w:val="TOCHeading"/>
        <w:jc w:val="center"/>
        <w:rPr>
          <w:color w:val="auto"/>
          <w:sz w:val="28"/>
          <w:lang w:val="ka-GE"/>
        </w:rPr>
      </w:pPr>
      <w:r w:rsidRPr="00B6724D">
        <w:rPr>
          <w:rFonts w:ascii="Sylfaen" w:hAnsi="Sylfaen"/>
          <w:b/>
          <w:bCs/>
          <w:color w:val="auto"/>
          <w:sz w:val="28"/>
          <w:lang w:val="ka-GE"/>
        </w:rPr>
        <w:t>022-</w:t>
      </w:r>
      <w:r w:rsidRPr="00B6724D">
        <w:rPr>
          <w:rFonts w:ascii="Sylfaen" w:hAnsi="Sylfaen"/>
          <w:b/>
          <w:bCs/>
          <w:color w:val="auto"/>
          <w:sz w:val="28"/>
        </w:rPr>
        <w:t>BID-17</w:t>
      </w:r>
    </w:p>
    <w:p w:rsidR="004E1DCB" w:rsidRPr="00B6724D" w:rsidRDefault="00B6724D" w:rsidP="00B6724D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>
        <w:rPr>
          <w:rFonts w:ascii="Sylfaen" w:hAnsi="Sylfaen" w:cs="Sylfaen"/>
          <w:b/>
          <w:bCs/>
          <w:sz w:val="24"/>
          <w:szCs w:val="28"/>
          <w:lang w:val="ka-GE"/>
        </w:rPr>
        <w:t xml:space="preserve">კონკურსი </w:t>
      </w:r>
      <w:proofErr w:type="spellStart"/>
      <w:r w:rsidRPr="00B6724D">
        <w:rPr>
          <w:rFonts w:ascii="Sylfaen" w:hAnsi="Sylfaen" w:cs="Sylfaen"/>
          <w:b/>
          <w:bCs/>
          <w:sz w:val="24"/>
          <w:szCs w:val="28"/>
        </w:rPr>
        <w:t>ჟინვალჰესის</w:t>
      </w:r>
      <w:proofErr w:type="spellEnd"/>
      <w:r w:rsidRPr="00B6724D">
        <w:rPr>
          <w:rFonts w:ascii="Sylfaen" w:hAnsi="Sylfaen" w:cs="Sylfaen"/>
          <w:b/>
          <w:bCs/>
          <w:sz w:val="24"/>
          <w:szCs w:val="28"/>
          <w:lang w:val="ka-GE"/>
        </w:rPr>
        <w:t xml:space="preserve"> </w:t>
      </w:r>
      <w:proofErr w:type="spellStart"/>
      <w:r w:rsidRPr="00B6724D">
        <w:rPr>
          <w:rFonts w:ascii="Sylfaen" w:hAnsi="Sylfaen" w:cs="Sylfaen"/>
          <w:b/>
          <w:bCs/>
          <w:sz w:val="24"/>
          <w:szCs w:val="28"/>
        </w:rPr>
        <w:t>ავტომატიზაციის</w:t>
      </w:r>
      <w:proofErr w:type="spellEnd"/>
      <w:r w:rsidRPr="00B6724D">
        <w:rPr>
          <w:rFonts w:ascii="Sylfaen" w:hAnsi="Sylfaen" w:cs="Sylfaen"/>
          <w:b/>
          <w:bCs/>
          <w:sz w:val="24"/>
          <w:szCs w:val="28"/>
        </w:rPr>
        <w:t xml:space="preserve"> </w:t>
      </w:r>
      <w:proofErr w:type="spellStart"/>
      <w:r w:rsidRPr="00B6724D">
        <w:rPr>
          <w:rFonts w:ascii="Sylfaen" w:hAnsi="Sylfaen" w:cs="Sylfaen"/>
          <w:b/>
          <w:bCs/>
          <w:sz w:val="24"/>
          <w:szCs w:val="28"/>
        </w:rPr>
        <w:t>სისტემის</w:t>
      </w:r>
      <w:proofErr w:type="spellEnd"/>
      <w:r w:rsidRPr="00B6724D">
        <w:rPr>
          <w:rFonts w:ascii="Sylfaen" w:hAnsi="Sylfaen" w:cs="Sylfaen"/>
          <w:b/>
          <w:bCs/>
          <w:sz w:val="24"/>
          <w:szCs w:val="28"/>
        </w:rPr>
        <w:t xml:space="preserve"> </w:t>
      </w:r>
      <w:proofErr w:type="spellStart"/>
      <w:r w:rsidRPr="00B6724D">
        <w:rPr>
          <w:rFonts w:ascii="Sylfaen" w:hAnsi="Sylfaen" w:cs="Sylfaen"/>
          <w:b/>
          <w:bCs/>
          <w:sz w:val="24"/>
          <w:szCs w:val="28"/>
        </w:rPr>
        <w:t>სრული</w:t>
      </w:r>
      <w:proofErr w:type="spellEnd"/>
      <w:r w:rsidRPr="00B6724D">
        <w:rPr>
          <w:rFonts w:ascii="Sylfaen" w:hAnsi="Sylfaen" w:cs="Sylfaen"/>
          <w:b/>
          <w:bCs/>
          <w:sz w:val="24"/>
          <w:szCs w:val="28"/>
        </w:rPr>
        <w:t xml:space="preserve"> </w:t>
      </w:r>
      <w:proofErr w:type="spellStart"/>
      <w:r w:rsidRPr="00B6724D">
        <w:rPr>
          <w:rFonts w:ascii="Sylfaen" w:hAnsi="Sylfaen" w:cs="Sylfaen"/>
          <w:b/>
          <w:bCs/>
          <w:sz w:val="24"/>
          <w:szCs w:val="28"/>
        </w:rPr>
        <w:t>მოდერნიზაციის</w:t>
      </w:r>
      <w:proofErr w:type="spellEnd"/>
      <w:r w:rsidRPr="00B6724D">
        <w:rPr>
          <w:rFonts w:ascii="Sylfaen" w:hAnsi="Sylfaen" w:cs="Sylfaen"/>
          <w:b/>
          <w:bCs/>
          <w:sz w:val="24"/>
          <w:szCs w:val="28"/>
        </w:rPr>
        <w:t xml:space="preserve"> </w:t>
      </w:r>
      <w:proofErr w:type="spellStart"/>
      <w:r w:rsidRPr="00B6724D">
        <w:rPr>
          <w:rFonts w:ascii="Sylfaen" w:hAnsi="Sylfaen" w:cs="Sylfaen"/>
          <w:b/>
          <w:bCs/>
          <w:sz w:val="24"/>
          <w:szCs w:val="28"/>
        </w:rPr>
        <w:t>პროექტი</w:t>
      </w:r>
      <w:proofErr w:type="spellEnd"/>
      <w:r w:rsidRPr="00B6724D">
        <w:rPr>
          <w:rFonts w:ascii="Sylfaen" w:hAnsi="Sylfaen" w:cs="Sylfaen"/>
          <w:b/>
          <w:bCs/>
          <w:sz w:val="24"/>
          <w:szCs w:val="28"/>
          <w:lang w:val="ka-GE"/>
        </w:rPr>
        <w:t>ს შესყიდვის თაობაზე</w:t>
      </w:r>
    </w:p>
    <w:p w:rsidR="004E1DCB" w:rsidRPr="004E1DCB" w:rsidRDefault="004E1DCB" w:rsidP="004E1DCB">
      <w:pPr>
        <w:spacing w:after="0" w:line="240" w:lineRule="auto"/>
        <w:jc w:val="center"/>
        <w:rPr>
          <w:szCs w:val="24"/>
        </w:rPr>
      </w:pP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proofErr w:type="spellEnd"/>
    </w:p>
    <w:p w:rsidR="00B3543E" w:rsidRPr="004E1DCB" w:rsidRDefault="00B3543E" w:rsidP="004E1DCB">
      <w:pPr>
        <w:pStyle w:val="ListParagraph"/>
        <w:numPr>
          <w:ilvl w:val="1"/>
          <w:numId w:val="11"/>
        </w:numPr>
        <w:rPr>
          <w:rFonts w:ascii="Sylfaen" w:hAnsi="Sylfaen" w:cs="Sylfaen"/>
          <w:b/>
          <w:bCs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="004E1DCB">
        <w:rPr>
          <w:rStyle w:val="Heading2Char"/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6724D" w:rsidRPr="00B6724D">
        <w:rPr>
          <w:rFonts w:ascii="Sylfaen" w:eastAsiaTheme="majorEastAsia" w:hAnsi="Sylfaen" w:cstheme="majorBidi"/>
          <w:lang w:val="ka-GE"/>
        </w:rPr>
        <w:t xml:space="preserve">„ჯორჯიან უოთერ ენდ </w:t>
      </w:r>
      <w:proofErr w:type="gramStart"/>
      <w:r w:rsidR="00B6724D" w:rsidRPr="00B6724D">
        <w:rPr>
          <w:rFonts w:ascii="Sylfaen" w:eastAsiaTheme="majorEastAsia" w:hAnsi="Sylfaen" w:cstheme="majorBidi"/>
          <w:lang w:val="ka-GE"/>
        </w:rPr>
        <w:t>ფაუერი“</w:t>
      </w:r>
      <w:r w:rsidR="00B6724D" w:rsidRPr="00B6724D">
        <w:rPr>
          <w:rFonts w:ascii="Sylfaen" w:eastAsiaTheme="majorEastAsia" w:hAnsi="Sylfaen" w:cstheme="majorBidi"/>
          <w:b/>
          <w:lang w:val="ka-GE"/>
        </w:rPr>
        <w:t xml:space="preserve"> </w:t>
      </w:r>
      <w:proofErr w:type="spellStart"/>
      <w:r w:rsidRPr="00B3543E">
        <w:rPr>
          <w:rFonts w:ascii="Sylfaen" w:hAnsi="Sylfaen" w:cs="Sylfaen"/>
        </w:rPr>
        <w:t>ატარებს</w:t>
      </w:r>
      <w:proofErr w:type="spellEnd"/>
      <w:proofErr w:type="gramEnd"/>
      <w:r w:rsidR="00922D73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კონკურსს</w:t>
      </w:r>
      <w:proofErr w:type="spellEnd"/>
      <w:r w:rsidR="00874980" w:rsidRPr="00874980">
        <w:rPr>
          <w:rFonts w:ascii="Sylfaen" w:hAnsi="Sylfaen" w:cs="Sylfaen"/>
          <w:b/>
          <w:bCs/>
          <w:lang w:val="ka-GE"/>
        </w:rPr>
        <w:t xml:space="preserve"> </w:t>
      </w:r>
      <w:r w:rsidR="004E1DCB" w:rsidRPr="004E1DCB">
        <w:rPr>
          <w:rFonts w:ascii="Sylfaen" w:hAnsi="Sylfaen" w:cs="Sylfaen"/>
          <w:b/>
          <w:bCs/>
          <w:lang w:val="ka-GE"/>
        </w:rPr>
        <w:t xml:space="preserve"> </w:t>
      </w:r>
      <w:r w:rsidR="00B6724D" w:rsidRPr="005E5AD8">
        <w:rPr>
          <w:rFonts w:ascii="Sylfaen" w:hAnsi="Sylfaen"/>
          <w:b/>
          <w:color w:val="000000"/>
          <w:sz w:val="20"/>
          <w:szCs w:val="20"/>
          <w:lang w:val="ka-GE"/>
        </w:rPr>
        <w:t>№</w:t>
      </w:r>
      <w:r w:rsidR="00B6724D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B6724D" w:rsidRPr="00787203">
        <w:rPr>
          <w:rFonts w:ascii="Sylfaen" w:hAnsi="Sylfaen"/>
          <w:b/>
          <w:color w:val="000000"/>
          <w:sz w:val="20"/>
          <w:szCs w:val="20"/>
        </w:rPr>
        <w:t xml:space="preserve">022-BID-17 </w:t>
      </w:r>
      <w:r w:rsidR="00B6724D">
        <w:rPr>
          <w:rFonts w:ascii="Sylfaen" w:hAnsi="Sylfaen"/>
          <w:b/>
          <w:color w:val="000000"/>
          <w:sz w:val="20"/>
          <w:szCs w:val="20"/>
          <w:lang w:val="ka-GE"/>
        </w:rPr>
        <w:t xml:space="preserve">ერთ ლოტად </w:t>
      </w:r>
      <w:proofErr w:type="spellStart"/>
      <w:r w:rsidR="00B6724D" w:rsidRPr="00787203">
        <w:rPr>
          <w:rFonts w:ascii="Sylfaen" w:hAnsi="Sylfaen"/>
          <w:b/>
          <w:color w:val="000000"/>
          <w:sz w:val="20"/>
          <w:szCs w:val="20"/>
        </w:rPr>
        <w:t>ჟინვალჰესის</w:t>
      </w:r>
      <w:proofErr w:type="spellEnd"/>
      <w:r w:rsidR="00B6724D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="00B6724D" w:rsidRPr="00787203">
        <w:rPr>
          <w:rFonts w:ascii="Sylfaen" w:hAnsi="Sylfaen"/>
          <w:b/>
          <w:color w:val="000000"/>
          <w:sz w:val="20"/>
          <w:szCs w:val="20"/>
        </w:rPr>
        <w:t>ავტომატიზაციის</w:t>
      </w:r>
      <w:proofErr w:type="spellEnd"/>
      <w:r w:rsidR="00B6724D" w:rsidRPr="00787203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="00B6724D" w:rsidRPr="00787203">
        <w:rPr>
          <w:rFonts w:ascii="Sylfaen" w:hAnsi="Sylfaen"/>
          <w:b/>
          <w:color w:val="000000"/>
          <w:sz w:val="20"/>
          <w:szCs w:val="20"/>
        </w:rPr>
        <w:t>სისტემის</w:t>
      </w:r>
      <w:proofErr w:type="spellEnd"/>
      <w:r w:rsidR="00B6724D" w:rsidRPr="00787203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="00B6724D" w:rsidRPr="00787203">
        <w:rPr>
          <w:rFonts w:ascii="Sylfaen" w:hAnsi="Sylfaen"/>
          <w:b/>
          <w:color w:val="000000"/>
          <w:sz w:val="20"/>
          <w:szCs w:val="20"/>
        </w:rPr>
        <w:t>სრული</w:t>
      </w:r>
      <w:proofErr w:type="spellEnd"/>
      <w:r w:rsidR="00B6724D" w:rsidRPr="00787203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="00B6724D" w:rsidRPr="00787203">
        <w:rPr>
          <w:rFonts w:ascii="Sylfaen" w:hAnsi="Sylfaen"/>
          <w:b/>
          <w:color w:val="000000"/>
          <w:sz w:val="20"/>
          <w:szCs w:val="20"/>
        </w:rPr>
        <w:t>მოდერნიზაციის</w:t>
      </w:r>
      <w:proofErr w:type="spellEnd"/>
      <w:r w:rsidR="00B6724D" w:rsidRPr="00787203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="00B6724D" w:rsidRPr="00787203">
        <w:rPr>
          <w:rFonts w:ascii="Sylfaen" w:hAnsi="Sylfaen"/>
          <w:b/>
          <w:color w:val="000000"/>
          <w:sz w:val="20"/>
          <w:szCs w:val="20"/>
        </w:rPr>
        <w:t>პროექტი</w:t>
      </w:r>
      <w:proofErr w:type="spellEnd"/>
      <w:r w:rsidR="00B6724D">
        <w:rPr>
          <w:rFonts w:ascii="Sylfaen" w:hAnsi="Sylfaen"/>
          <w:b/>
          <w:color w:val="000000"/>
          <w:sz w:val="20"/>
          <w:szCs w:val="20"/>
          <w:lang w:val="ka-GE"/>
        </w:rPr>
        <w:t xml:space="preserve">ს </w:t>
      </w:r>
      <w:r w:rsidR="00B6724D" w:rsidRPr="00560086">
        <w:rPr>
          <w:rFonts w:ascii="Sylfaen" w:hAnsi="Sylfaen" w:cs="Sylfaen"/>
          <w:b/>
          <w:bCs/>
          <w:sz w:val="20"/>
          <w:szCs w:val="20"/>
          <w:lang w:val="ka-GE"/>
        </w:rPr>
        <w:t>შესყიდვის თაობაზე</w:t>
      </w:r>
      <w:r w:rsidR="00B6724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4E1DCB">
        <w:rPr>
          <w:rFonts w:ascii="Sylfaen" w:hAnsi="Sylfaen" w:cs="Sylfaen"/>
        </w:rPr>
        <w:t>და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იწვევს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კვალიფიციურ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კომპანიებს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მონაწილეობის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მისაღებად</w:t>
      </w:r>
      <w:proofErr w:type="spellEnd"/>
      <w:r w:rsidRPr="004E1DCB">
        <w:rPr>
          <w:rFonts w:ascii="AcadNusx" w:hAnsi="AcadNusx"/>
        </w:rPr>
        <w:t xml:space="preserve"> (</w:t>
      </w:r>
      <w:proofErr w:type="spellStart"/>
      <w:r w:rsidRPr="004E1DCB">
        <w:rPr>
          <w:rFonts w:ascii="Sylfaen" w:hAnsi="Sylfaen" w:cs="Sylfaen"/>
        </w:rPr>
        <w:t>სავარაუდო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მოცულობა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მოცემულია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="004141A7" w:rsidRPr="004E1DCB">
        <w:rPr>
          <w:rFonts w:ascii="Sylfaen" w:hAnsi="Sylfaen" w:cs="Sylfaen"/>
        </w:rPr>
        <w:t>ხერჯთ</w:t>
      </w:r>
      <w:r w:rsidRPr="004E1DCB">
        <w:rPr>
          <w:rFonts w:ascii="Sylfaen" w:hAnsi="Sylfaen" w:cs="Sylfaen"/>
        </w:rPr>
        <w:t>აღრიცხვის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ფორმაში</w:t>
      </w:r>
      <w:proofErr w:type="spellEnd"/>
      <w:r w:rsidRPr="004E1DCB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B3543E" w:rsidRDefault="00B3543E" w:rsidP="009B750B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ნომერი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r w:rsidRPr="00B3543E">
        <w:rPr>
          <w:rFonts w:ascii="Times New Roman" w:hAnsi="Times New Roman"/>
          <w:b/>
        </w:rPr>
        <w:t>№</w:t>
      </w:r>
      <w:r w:rsidR="00203AF8">
        <w:rPr>
          <w:rFonts w:ascii="Sylfaen" w:hAnsi="Sylfaen"/>
          <w:b/>
          <w:lang w:val="ka-GE"/>
        </w:rPr>
        <w:t xml:space="preserve"> </w:t>
      </w:r>
      <w:r w:rsidR="00B6724D" w:rsidRPr="00B6724D">
        <w:rPr>
          <w:rFonts w:ascii="Sylfaen" w:hAnsi="Sylfaen"/>
          <w:b/>
          <w:bCs/>
        </w:rPr>
        <w:t xml:space="preserve">022-BID-17 </w:t>
      </w:r>
      <w:proofErr w:type="spellStart"/>
      <w:r w:rsidRPr="00B3543E">
        <w:rPr>
          <w:rFonts w:ascii="Sylfaen" w:hAnsi="Sylfaen" w:cs="Sylfaen"/>
        </w:rPr>
        <w:t>კონკურსი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ტარდება</w:t>
      </w:r>
      <w:proofErr w:type="spellEnd"/>
      <w:r w:rsidRPr="00B3543E">
        <w:rPr>
          <w:rFonts w:ascii="AcadNusx" w:hAnsi="AcadNusx"/>
        </w:rPr>
        <w:t xml:space="preserve"> </w:t>
      </w:r>
      <w:r w:rsidR="00874980">
        <w:rPr>
          <w:rFonts w:ascii="Sylfaen" w:hAnsi="Sylfaen"/>
        </w:rPr>
        <w:t>1</w:t>
      </w:r>
      <w:r w:rsidR="00FE6DAE">
        <w:rPr>
          <w:rFonts w:ascii="Sylfaen" w:hAnsi="Sylfaen"/>
        </w:rPr>
        <w:t xml:space="preserve"> (</w:t>
      </w:r>
      <w:r w:rsidR="00874980">
        <w:rPr>
          <w:rFonts w:ascii="Sylfaen" w:hAnsi="Sylfaen"/>
          <w:lang w:val="ka-GE"/>
        </w:rPr>
        <w:t>ე</w:t>
      </w:r>
      <w:r w:rsidR="009B750B">
        <w:rPr>
          <w:rFonts w:ascii="Sylfaen" w:hAnsi="Sylfaen"/>
          <w:lang w:val="ka-GE"/>
        </w:rPr>
        <w:t>რ</w:t>
      </w:r>
      <w:r w:rsidR="00874980">
        <w:rPr>
          <w:rFonts w:ascii="Sylfaen" w:hAnsi="Sylfaen"/>
          <w:lang w:val="ka-GE"/>
        </w:rPr>
        <w:t>თ</w:t>
      </w:r>
      <w:r w:rsidR="00FE6DAE">
        <w:rPr>
          <w:rFonts w:ascii="Sylfaen" w:hAnsi="Sylfaen"/>
          <w:lang w:val="ka-GE"/>
        </w:rPr>
        <w:t>)</w:t>
      </w:r>
      <w:r w:rsidRPr="00B3543E">
        <w:rPr>
          <w:rFonts w:ascii="AcadNusx" w:hAnsi="AcadNusx"/>
        </w:rPr>
        <w:t xml:space="preserve"> </w:t>
      </w:r>
      <w:proofErr w:type="spellStart"/>
      <w:proofErr w:type="gramStart"/>
      <w:r w:rsidRPr="00B3543E">
        <w:rPr>
          <w:rFonts w:ascii="Sylfaen" w:hAnsi="Sylfaen" w:cs="Sylfaen"/>
        </w:rPr>
        <w:t>ლოტად</w:t>
      </w:r>
      <w:proofErr w:type="spellEnd"/>
      <w:r w:rsidR="000B2BC0">
        <w:rPr>
          <w:rFonts w:ascii="Sylfaen" w:hAnsi="Sylfaen" w:cs="Sylfaen"/>
          <w:lang w:val="ka-GE"/>
        </w:rPr>
        <w:t xml:space="preserve"> :</w:t>
      </w:r>
      <w:proofErr w:type="gramEnd"/>
      <w:r w:rsidRPr="00B3543E">
        <w:rPr>
          <w:rFonts w:ascii="Sylfaen" w:hAnsi="Sylfaen" w:cs="Sylfaen"/>
        </w:rPr>
        <w:t xml:space="preserve"> </w:t>
      </w:r>
      <w:r w:rsidRPr="00B3543E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3E66EF" w:rsidRPr="003E66EF" w:rsidRDefault="00B6724D" w:rsidP="003E66EF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 w:rsidRPr="00D542A9">
        <w:rPr>
          <w:rFonts w:ascii="Sylfaen" w:hAnsi="Sylfaen" w:cs="Sylfaen"/>
          <w:b/>
          <w:sz w:val="20"/>
          <w:szCs w:val="20"/>
          <w:u w:val="single"/>
          <w:lang w:val="ka-GE"/>
        </w:rPr>
        <w:t>1 ლოტი:</w:t>
      </w:r>
      <w:r w:rsidRPr="001763A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56008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787203">
        <w:rPr>
          <w:rFonts w:ascii="Sylfaen" w:hAnsi="Sylfaen"/>
          <w:b/>
          <w:color w:val="000000"/>
          <w:sz w:val="20"/>
          <w:szCs w:val="20"/>
        </w:rPr>
        <w:t>ჟინვალჰესის</w:t>
      </w:r>
      <w:proofErr w:type="spellEnd"/>
      <w:r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787203">
        <w:rPr>
          <w:rFonts w:ascii="Sylfaen" w:hAnsi="Sylfaen"/>
          <w:b/>
          <w:color w:val="000000"/>
          <w:sz w:val="20"/>
          <w:szCs w:val="20"/>
        </w:rPr>
        <w:t>ავტომატიზაციის</w:t>
      </w:r>
      <w:proofErr w:type="spellEnd"/>
      <w:r w:rsidRPr="00787203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Pr="00787203">
        <w:rPr>
          <w:rFonts w:ascii="Sylfaen" w:hAnsi="Sylfaen"/>
          <w:b/>
          <w:color w:val="000000"/>
          <w:sz w:val="20"/>
          <w:szCs w:val="20"/>
        </w:rPr>
        <w:t>სისტემის</w:t>
      </w:r>
      <w:proofErr w:type="spellEnd"/>
      <w:r w:rsidRPr="00787203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Pr="00787203">
        <w:rPr>
          <w:rFonts w:ascii="Sylfaen" w:hAnsi="Sylfaen"/>
          <w:b/>
          <w:color w:val="000000"/>
          <w:sz w:val="20"/>
          <w:szCs w:val="20"/>
        </w:rPr>
        <w:t>სრული</w:t>
      </w:r>
      <w:proofErr w:type="spellEnd"/>
      <w:r w:rsidRPr="00787203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Pr="00787203">
        <w:rPr>
          <w:rFonts w:ascii="Sylfaen" w:hAnsi="Sylfaen"/>
          <w:b/>
          <w:color w:val="000000"/>
          <w:sz w:val="20"/>
          <w:szCs w:val="20"/>
        </w:rPr>
        <w:t>მოდერნიზაციის</w:t>
      </w:r>
      <w:proofErr w:type="spellEnd"/>
      <w:r w:rsidRPr="00787203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Pr="00787203">
        <w:rPr>
          <w:rFonts w:ascii="Sylfaen" w:hAnsi="Sylfaen"/>
          <w:b/>
          <w:color w:val="000000"/>
          <w:sz w:val="20"/>
          <w:szCs w:val="20"/>
        </w:rPr>
        <w:t>პროექტი</w:t>
      </w:r>
      <w:proofErr w:type="spellEnd"/>
    </w:p>
    <w:p w:rsidR="008C0AE3" w:rsidRPr="008C0AE3" w:rsidRDefault="008C0AE3" w:rsidP="008C0AE3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874980" w:rsidRPr="00874980" w:rsidRDefault="00874980" w:rsidP="0087498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CD32CD" w:rsidRPr="00FE6DA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B6724D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4 მაისი</w:t>
      </w:r>
      <w:r w:rsidR="0087498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0" w:name="_Toc456185564"/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lastRenderedPageBreak/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0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4E1DCB" w:rsidRPr="004E1DCB" w:rsidRDefault="00775BA8" w:rsidP="004E1DCB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</w:r>
      <w:r w:rsidRPr="004E1DCB">
        <w:rPr>
          <w:rFonts w:ascii="Sylfaen" w:hAnsi="Sylfaen"/>
          <w:b/>
          <w:sz w:val="20"/>
          <w:szCs w:val="20"/>
          <w:lang w:val="ka-GE"/>
        </w:rPr>
        <w:t xml:space="preserve">                 </w:t>
      </w:r>
      <w:r w:rsidR="00B6724D">
        <w:rPr>
          <w:rFonts w:ascii="Sylfaen" w:hAnsi="Sylfaen"/>
          <w:sz w:val="20"/>
          <w:szCs w:val="20"/>
          <w:lang w:val="ka-GE"/>
        </w:rPr>
        <w:t>ზაზა მირცხულავა</w:t>
      </w:r>
      <w:r w:rsidR="00B6724D" w:rsidRPr="00445502">
        <w:rPr>
          <w:rFonts w:ascii="Sylfaen" w:hAnsi="Sylfaen"/>
          <w:sz w:val="20"/>
          <w:szCs w:val="20"/>
          <w:lang w:val="ka-GE"/>
        </w:rPr>
        <w:br/>
      </w:r>
      <w:r w:rsidR="00B6724D">
        <w:rPr>
          <w:rFonts w:ascii="Sylfaen" w:hAnsi="Sylfaen"/>
          <w:sz w:val="20"/>
          <w:szCs w:val="20"/>
          <w:lang w:val="ka-GE"/>
        </w:rPr>
        <w:t xml:space="preserve">                 </w:t>
      </w:r>
      <w:r w:rsidR="00B6724D" w:rsidRPr="00445502">
        <w:rPr>
          <w:rFonts w:ascii="Sylfaen" w:hAnsi="Sylfaen"/>
          <w:sz w:val="20"/>
          <w:szCs w:val="20"/>
          <w:lang w:val="ka-GE"/>
        </w:rPr>
        <w:t>ტელეფონი</w:t>
      </w:r>
      <w:r w:rsidR="00B6724D">
        <w:rPr>
          <w:rFonts w:ascii="Sylfaen" w:hAnsi="Sylfaen"/>
          <w:sz w:val="20"/>
          <w:szCs w:val="20"/>
          <w:lang w:val="ka-GE"/>
        </w:rPr>
        <w:t xml:space="preserve"> : 595 132 929</w:t>
      </w: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  <w:bookmarkStart w:id="1" w:name="_GoBack"/>
      <w:bookmarkEnd w:id="1"/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7C7A9D" w:rsidRPr="00205F77" w:rsidRDefault="00205F77" w:rsidP="00205F7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b/>
        </w:rPr>
      </w:pPr>
      <w:r>
        <w:rPr>
          <w:rFonts w:ascii="Sylfaen" w:hAnsi="Sylfaen" w:cs="Sylfaen"/>
          <w:b/>
        </w:rPr>
        <w:t xml:space="preserve">             </w:t>
      </w:r>
      <w:proofErr w:type="spellStart"/>
      <w:r w:rsidR="007C7A9D" w:rsidRPr="00205F77">
        <w:rPr>
          <w:rFonts w:ascii="Sylfaen" w:hAnsi="Sylfaen" w:cs="Sylfaen"/>
          <w:b/>
        </w:rPr>
        <w:t>გივი</w:t>
      </w:r>
      <w:proofErr w:type="spellEnd"/>
      <w:r w:rsidR="007C7A9D" w:rsidRPr="00205F77">
        <w:rPr>
          <w:rFonts w:ascii="AcadNusx" w:hAnsi="AcadNusx"/>
          <w:b/>
        </w:rPr>
        <w:t xml:space="preserve"> </w:t>
      </w:r>
      <w:proofErr w:type="spellStart"/>
      <w:r w:rsidR="007C7A9D" w:rsidRPr="00205F77">
        <w:rPr>
          <w:rFonts w:ascii="Sylfaen" w:hAnsi="Sylfaen" w:cs="Sylfaen"/>
          <w:b/>
        </w:rPr>
        <w:t>სულავას</w:t>
      </w:r>
      <w:proofErr w:type="spellEnd"/>
    </w:p>
    <w:p w:rsidR="007C7A9D" w:rsidRDefault="007C7A9D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ტელ: </w:t>
      </w:r>
      <w:r w:rsidR="00870473" w:rsidRPr="003F699A">
        <w:rPr>
          <w:sz w:val="20"/>
          <w:szCs w:val="20"/>
        </w:rPr>
        <w:t>+995 32  2 93 11 11</w:t>
      </w:r>
      <w:r w:rsidR="00870473">
        <w:rPr>
          <w:rFonts w:ascii="Sylfaen" w:hAnsi="Sylfaen"/>
          <w:sz w:val="20"/>
          <w:szCs w:val="20"/>
          <w:lang w:val="ka-GE"/>
        </w:rPr>
        <w:t xml:space="preserve"> (11 45)</w:t>
      </w:r>
    </w:p>
    <w:p w:rsidR="0072085B" w:rsidRDefault="0072085B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მობ: </w:t>
      </w:r>
      <w:r w:rsidRPr="00D52751">
        <w:t>577 715194</w:t>
      </w:r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p w:rsidR="00870473" w:rsidRPr="00870473" w:rsidRDefault="00271CF1" w:rsidP="00870473">
      <w:pPr>
        <w:spacing w:after="0" w:line="360" w:lineRule="auto"/>
        <w:ind w:left="5940" w:hanging="504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ელ ფოსტა</w:t>
      </w:r>
      <w:r w:rsidR="00870473">
        <w:rPr>
          <w:rFonts w:ascii="AcadNusx" w:hAnsi="AcadNusx"/>
          <w:sz w:val="20"/>
          <w:szCs w:val="20"/>
        </w:rPr>
        <w:t xml:space="preserve">: </w:t>
      </w:r>
      <w:r w:rsidR="00870473" w:rsidRPr="00870473">
        <w:rPr>
          <w:rStyle w:val="Hyperlink"/>
          <w:rFonts w:ascii="Sylfaen" w:hAnsi="Sylfaen"/>
        </w:rPr>
        <w:t>gsulava@gwp.ge</w:t>
      </w:r>
    </w:p>
    <w:p w:rsidR="00271CF1" w:rsidRPr="00271CF1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lastRenderedPageBreak/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8249C6" w:rsidRPr="008249C6" w:rsidRDefault="00B3543E" w:rsidP="00271CF1">
      <w:pPr>
        <w:spacing w:after="0"/>
        <w:rPr>
          <w:rFonts w:ascii="Sylfaen" w:hAnsi="Sylfaen" w:cs="Sylfaen"/>
          <w:lang w:val="ka-GE"/>
        </w:rPr>
      </w:pPr>
      <w:r w:rsidRPr="00B3543E">
        <w:rPr>
          <w:rFonts w:ascii="AcadMtavr" w:hAnsi="AcadMtavr"/>
        </w:rPr>
        <w:t>5.2</w:t>
      </w:r>
      <w:r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5.3</w:t>
      </w:r>
      <w:r w:rsidRPr="00B3543E">
        <w:rPr>
          <w:rFonts w:ascii="AcadMtavr" w:hAnsi="AcadMtavr"/>
        </w:rPr>
        <w:tab/>
      </w:r>
      <w:r w:rsidR="0016047D">
        <w:rPr>
          <w:rFonts w:ascii="Sylfaen" w:hAnsi="Sylfaen" w:cs="Sylfaen"/>
          <w:lang w:val="ka-GE"/>
        </w:rPr>
        <w:t>სამუშ</w:t>
      </w:r>
      <w:r w:rsidR="008D2BFD">
        <w:rPr>
          <w:rFonts w:ascii="Sylfaen" w:hAnsi="Sylfaen" w:cs="Sylfaen"/>
          <w:lang w:val="ka-GE"/>
        </w:rPr>
        <w:t>აოების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მეთოდოლოგია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5.4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კომპანისს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რეკვიზიტები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5.5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სამეწარმეო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5.6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მანძილზე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პროექტების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ჩამონათვალი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დამკვეთი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ორგანიზაციის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საკონტაკტო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Pr="00B3543E">
        <w:rPr>
          <w:rFonts w:ascii="Sylfaen" w:hAnsi="Sylfaen" w:cs="Sylfaen"/>
        </w:rPr>
        <w:t>ებით</w:t>
      </w:r>
      <w:proofErr w:type="spellEnd"/>
      <w:r w:rsidRPr="00B3543E">
        <w:rPr>
          <w:rFonts w:ascii="AcadMtavr" w:hAnsi="AcadMtavr"/>
        </w:rPr>
        <w:t>).</w:t>
      </w:r>
    </w:p>
    <w:p w:rsidR="00B3543E" w:rsidRDefault="004E1DCB" w:rsidP="008D2BFD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5.7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ქვეკონტრაქტორის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არსებობის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შემთხვევაში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კომპანიამ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წარმოადგინოს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ქვეკონტრაკტორზე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ანალოგიური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დოკუმენტაციები</w:t>
      </w:r>
      <w:proofErr w:type="spellEnd"/>
      <w:r w:rsidR="00B3543E"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Pr="00B3543E" w:rsidRDefault="00B70A33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lastRenderedPageBreak/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71" w:rsidRDefault="00EE6E71" w:rsidP="007902EA">
      <w:pPr>
        <w:spacing w:after="0" w:line="240" w:lineRule="auto"/>
      </w:pPr>
      <w:r>
        <w:separator/>
      </w:r>
    </w:p>
  </w:endnote>
  <w:endnote w:type="continuationSeparator" w:id="0">
    <w:p w:rsidR="00EE6E71" w:rsidRDefault="00EE6E7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71" w:rsidRDefault="00EE6E71" w:rsidP="007902EA">
      <w:pPr>
        <w:spacing w:after="0" w:line="240" w:lineRule="auto"/>
      </w:pPr>
      <w:r>
        <w:separator/>
      </w:r>
    </w:p>
  </w:footnote>
  <w:footnote w:type="continuationSeparator" w:id="0">
    <w:p w:rsidR="00EE6E71" w:rsidRDefault="00EE6E71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75A17"/>
    <w:rsid w:val="00081D42"/>
    <w:rsid w:val="00092A77"/>
    <w:rsid w:val="000974B9"/>
    <w:rsid w:val="000B2579"/>
    <w:rsid w:val="000B2BC0"/>
    <w:rsid w:val="000B4C5E"/>
    <w:rsid w:val="000C3A32"/>
    <w:rsid w:val="000D0FD9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3AF8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6EF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A12F2"/>
    <w:rsid w:val="004B09C9"/>
    <w:rsid w:val="004D1FBC"/>
    <w:rsid w:val="004D59C4"/>
    <w:rsid w:val="004D75CD"/>
    <w:rsid w:val="004E080C"/>
    <w:rsid w:val="004E1DCB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4980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0AE3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295D"/>
    <w:rsid w:val="00B137F3"/>
    <w:rsid w:val="00B156A3"/>
    <w:rsid w:val="00B21412"/>
    <w:rsid w:val="00B23313"/>
    <w:rsid w:val="00B3543E"/>
    <w:rsid w:val="00B42689"/>
    <w:rsid w:val="00B6724D"/>
    <w:rsid w:val="00B70A33"/>
    <w:rsid w:val="00B74585"/>
    <w:rsid w:val="00B80DA2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502E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E6E71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51B2C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E7F5B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AD9E-9D1A-42D2-8110-5CBBCFCB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78</cp:revision>
  <cp:lastPrinted>2016-06-17T13:25:00Z</cp:lastPrinted>
  <dcterms:created xsi:type="dcterms:W3CDTF">2016-07-21T15:20:00Z</dcterms:created>
  <dcterms:modified xsi:type="dcterms:W3CDTF">2017-04-19T08:25:00Z</dcterms:modified>
</cp:coreProperties>
</file>